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8"/>
          <w:szCs w:val="28"/>
        </w:rPr>
        <w:t>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4720</w:t>
      </w:r>
      <w:r>
        <w:rPr>
          <w:rFonts w:ascii="Times New Roman" w:eastAsia="Times New Roman" w:hAnsi="Times New Roman" w:cs="Times New Roman"/>
          <w:sz w:val="28"/>
          <w:szCs w:val="28"/>
        </w:rPr>
        <w:t>-2803/2024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Колодезной Людмилы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АО «ГСК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взыскании убытков </w:t>
      </w:r>
      <w:r>
        <w:rPr>
          <w:rFonts w:ascii="Times New Roman" w:eastAsia="Times New Roman" w:hAnsi="Times New Roman" w:cs="Times New Roman"/>
          <w:sz w:val="28"/>
          <w:szCs w:val="28"/>
        </w:rPr>
        <w:t>и 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Колодезной Людмилы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 к АО «ГСК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>» (ИНН: 8601023568) о взыскании убытков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r>
        <w:rPr>
          <w:rFonts w:ascii="Times New Roman" w:eastAsia="Times New Roman" w:hAnsi="Times New Roman" w:cs="Times New Roman"/>
          <w:sz w:val="28"/>
          <w:szCs w:val="28"/>
        </w:rPr>
        <w:t>ГСК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Колодезной Людмилы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счет возмещения убытков.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 с АО «ГСК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Колодезной Людмилы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по уплате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0rplc-9">
    <w:name w:val="cat-PassportData grp-1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